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aba8mq42e5ch" w:id="0"/>
      <w:bookmarkEnd w:id="0"/>
      <w:r w:rsidDel="00000000" w:rsidR="00000000" w:rsidRPr="00000000">
        <w:rPr>
          <w:b w:val="1"/>
          <w:bCs w:val="1"/>
          <w:sz w:val="46"/>
          <w:szCs w:val="46"/>
          <w:rtl w:val="0"/>
        </w:rPr>
        <w:t xml:space="preserve">Strengthening the Effectiveness of the International Court of Justice in Resolving Global disputes. </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Forum:</w:t>
      </w:r>
      <w:r w:rsidDel="00000000" w:rsidR="00000000" w:rsidRPr="00000000">
        <w:rPr>
          <w:rtl w:val="0"/>
        </w:rPr>
        <w:t xml:space="preserve"> General Assembly Sixth Committee (Legal)</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Date of Inception:</w:t>
      </w:r>
      <w:r w:rsidDel="00000000" w:rsidR="00000000" w:rsidRPr="00000000">
        <w:rPr>
          <w:rtl w:val="0"/>
        </w:rPr>
        <w:t xml:space="preserve"> 22/06/2026</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Submitter:</w:t>
      </w:r>
      <w:r w:rsidDel="00000000" w:rsidR="00000000" w:rsidRPr="00000000">
        <w:rPr>
          <w:rtl w:val="0"/>
        </w:rPr>
        <w:t xml:space="preserve"> United States of America</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Co-submitters</w: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wyfenqc2pf5o" w:id="1"/>
      <w:bookmarkEnd w:id="1"/>
      <w:r w:rsidDel="00000000" w:rsidR="00000000" w:rsidRPr="00000000">
        <w:rPr>
          <w:b w:val="1"/>
          <w:bCs w:val="1"/>
          <w:color w:val="000000"/>
          <w:sz w:val="26"/>
          <w:szCs w:val="26"/>
          <w:rtl w:val="0"/>
        </w:rPr>
        <w:t xml:space="preserve">THE GENERAL ASSEMBLY SIXTH COMMITTEE,</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P1.</w:t>
      </w:r>
      <w:r w:rsidDel="00000000" w:rsidR="00000000" w:rsidRPr="00000000">
        <w:rPr>
          <w:rtl w:val="0"/>
        </w:rPr>
        <w:t xml:space="preserve"> Reaffirming the principles of the Charter of the United Nations, including the sovereign equality of states and the peaceful settlement of disputes,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P2.</w:t>
      </w:r>
      <w:r w:rsidDel="00000000" w:rsidR="00000000" w:rsidRPr="00000000">
        <w:rPr>
          <w:rtl w:val="0"/>
        </w:rPr>
        <w:t xml:space="preserve"> Recognizing the role of the International Court of Justice (ICJ) in promoting peaceful resolution of international disputes,</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P3.</w:t>
      </w:r>
      <w:r w:rsidDel="00000000" w:rsidR="00000000" w:rsidRPr="00000000">
        <w:rPr>
          <w:rtl w:val="0"/>
        </w:rPr>
        <w:t xml:space="preserve"> Concerned that inefficiencies, delays, and political misuse may reduce confidence in international legal institutions,,</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m8j5thx09uzy" w:id="2"/>
      <w:bookmarkEnd w:id="2"/>
      <w:r w:rsidDel="00000000" w:rsidR="00000000" w:rsidRPr="00000000">
        <w:rPr>
          <w:b w:val="1"/>
          <w:bCs w:val="1"/>
          <w:color w:val="000000"/>
          <w:sz w:val="26"/>
          <w:szCs w:val="26"/>
          <w:rtl w:val="0"/>
        </w:rPr>
        <w:t xml:space="preserve">Operative Clauses</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O1.</w:t>
      </w:r>
      <w:r w:rsidDel="00000000" w:rsidR="00000000" w:rsidRPr="00000000">
        <w:rPr>
          <w:rtl w:val="0"/>
        </w:rPr>
        <w:t xml:space="preserve"> Encourages Member States to utilise the ICJ as a primary mechanism for the peaceful settlement of disputes between states;</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O2.</w:t>
      </w:r>
      <w:r w:rsidDel="00000000" w:rsidR="00000000" w:rsidRPr="00000000">
        <w:rPr>
          <w:rtl w:val="0"/>
        </w:rPr>
        <w:t xml:space="preserve"> Recommends the modernization of ICJ administrative procedures to reduce delays and improve access to legal proceedings;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O3.</w:t>
      </w:r>
      <w:r w:rsidDel="00000000" w:rsidR="00000000" w:rsidRPr="00000000">
        <w:rPr>
          <w:rtl w:val="0"/>
        </w:rPr>
        <w:t xml:space="preserve"> Calls for increased transparency in ICJ proceedings through improved publication of legal reasoning and judgments;</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O4.</w:t>
      </w:r>
      <w:r w:rsidDel="00000000" w:rsidR="00000000" w:rsidRPr="00000000">
        <w:rPr>
          <w:rtl w:val="0"/>
        </w:rPr>
        <w:t xml:space="preserve"> Affirms that any expansion of ICJ authority must occur only with the consent of Member States and in accordance with national sovereignty;</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rPr>
          <w:b w:val="1"/>
          <w:bCs w:val="1"/>
          <w:sz w:val="46"/>
          <w:szCs w:val="46"/>
        </w:rPr>
      </w:pPr>
      <w:r w:rsidDel="00000000" w:rsidR="00000000" w:rsidRPr="00000000">
        <w:rPr>
          <w:rtl w:val="0"/>
        </w:rPr>
        <w:t xml:space="preserve">Speech; </w:t>
      </w:r>
      <w:r w:rsidDel="00000000" w:rsidR="00000000" w:rsidRPr="00000000">
        <w:rPr>
          <w:sz w:val="27"/>
          <w:szCs w:val="27"/>
          <w:shd w:fill="f4f5f6" w:val="clear"/>
          <w:rtl w:val="0"/>
        </w:rPr>
        <w:t xml:space="preserve">The United States holds the view that the International Court of Justice is crucial for upholding international peace. However, it's essential that any efforts to encourage the Court do not undermine national sovereignty. Additionally, the emergence of non-state actors, like terrorist organizations, poses one of the most significant legal challenges we face today. It's important for the international community to collaborate in ensuring accountability while still honoring the authority of Member States.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Signatories</w:t>
      </w:r>
    </w:p>
    <w:p w:rsidR="00000000" w:rsidDel="00000000" w:rsidP="00000000" w:rsidRDefault="00000000" w:rsidRPr="00000000" w14:paraId="00000012">
      <w:pPr>
        <w:spacing w:after="240" w:before="240" w:lineRule="auto"/>
        <w:rPr/>
      </w:pPr>
      <w:r w:rsidDel="00000000" w:rsidR="00000000" w:rsidRPr="00000000">
        <w:rPr>
          <w:rtl w:val="0"/>
        </w:rPr>
        <w:t xml:space="preserve">Ruairidh Topham</w:t>
      </w:r>
    </w:p>
    <w:p w:rsidR="00000000" w:rsidDel="00000000" w:rsidP="00000000" w:rsidRDefault="00000000" w:rsidRPr="00000000" w14:paraId="00000013">
      <w:pPr>
        <w:spacing w:after="240" w:before="240" w:lineRule="auto"/>
        <w:rPr/>
      </w:pPr>
      <w:r w:rsidDel="00000000" w:rsidR="00000000" w:rsidRPr="00000000">
        <w:rPr>
          <w:rtl w:val="0"/>
        </w:rPr>
        <w:t xml:space="preserve">______________________________</w:t>
      </w:r>
    </w:p>
    <w:p w:rsidR="00000000" w:rsidDel="00000000" w:rsidP="00000000" w:rsidRDefault="00000000" w:rsidRPr="00000000" w14:paraId="00000014">
      <w:pPr>
        <w:spacing w:after="240" w:before="240" w:lineRule="auto"/>
        <w:rPr/>
      </w:pPr>
      <w:r w:rsidDel="00000000" w:rsidR="00000000" w:rsidRPr="00000000">
        <w:rPr>
          <w:rtl w:val="0"/>
        </w:rPr>
        <w:t xml:space="preserve">Name of Submitter; Tinevimbo Maferefa </w:t>
      </w:r>
    </w:p>
    <w:p w:rsidR="00000000" w:rsidDel="00000000" w:rsidP="00000000" w:rsidRDefault="00000000" w:rsidRPr="00000000" w14:paraId="00000015">
      <w:pPr>
        <w:spacing w:after="240" w:before="240" w:lineRule="auto"/>
        <w:rPr/>
      </w:pPr>
      <w:r w:rsidDel="00000000" w:rsidR="00000000" w:rsidRPr="00000000">
        <w:rPr>
          <w:rtl w:val="0"/>
        </w:rPr>
        <w:t xml:space="preserve">Delegate of United States </w:t>
      </w:r>
    </w:p>
    <w:p w:rsidR="00000000" w:rsidDel="00000000" w:rsidP="00000000" w:rsidRDefault="00000000" w:rsidRPr="00000000" w14:paraId="00000016">
      <w:pPr>
        <w:spacing w:after="240" w:before="240" w:lineRule="auto"/>
        <w:rPr/>
      </w:pPr>
      <w:r w:rsidDel="00000000" w:rsidR="00000000" w:rsidRPr="00000000">
        <w:rPr>
          <w:rtl w:val="0"/>
        </w:rPr>
        <w:t xml:space="preserve">______________________________</w:t>
      </w:r>
    </w:p>
    <w:p w:rsidR="00000000" w:rsidDel="00000000" w:rsidP="00000000" w:rsidRDefault="00000000" w:rsidRPr="00000000" w14:paraId="00000017">
      <w:pPr>
        <w:spacing w:after="240" w:before="240" w:lineRule="auto"/>
        <w:rPr/>
      </w:pPr>
      <w:r w:rsidDel="00000000" w:rsidR="00000000" w:rsidRPr="00000000">
        <w:rPr>
          <w:rtl w:val="0"/>
        </w:rPr>
        <w:t xml:space="preserve">Name of James Howell </w:t>
      </w:r>
    </w:p>
    <w:p w:rsidR="00000000" w:rsidDel="00000000" w:rsidP="00000000" w:rsidRDefault="00000000" w:rsidRPr="00000000" w14:paraId="00000018">
      <w:pPr>
        <w:spacing w:after="240" w:before="240" w:lineRule="auto"/>
        <w:rPr/>
      </w:pPr>
      <w:r w:rsidDel="00000000" w:rsidR="00000000" w:rsidRPr="00000000">
        <w:rPr>
          <w:rtl w:val="0"/>
        </w:rPr>
        <w:t xml:space="preserve">Delegate of SAUDI ARABIA </w:t>
      </w:r>
    </w:p>
    <w:p w:rsidR="00000000" w:rsidDel="00000000" w:rsidP="00000000" w:rsidRDefault="00000000" w:rsidRPr="00000000" w14:paraId="00000019">
      <w:pPr>
        <w:spacing w:after="240" w:before="240" w:lineRule="auto"/>
        <w:rPr/>
      </w:pPr>
      <w:r w:rsidDel="00000000" w:rsidR="00000000" w:rsidRPr="00000000">
        <w:rPr>
          <w:rtl w:val="0"/>
        </w:rPr>
        <w:t xml:space="preserve">______ ________________________</w:t>
      </w:r>
    </w:p>
    <w:p w:rsidR="00000000" w:rsidDel="00000000" w:rsidP="00000000" w:rsidRDefault="00000000" w:rsidRPr="00000000" w14:paraId="0000001A">
      <w:pPr>
        <w:spacing w:after="240" w:before="240" w:lineRule="auto"/>
        <w:rPr/>
      </w:pPr>
      <w:r w:rsidDel="00000000" w:rsidR="00000000" w:rsidRPr="00000000">
        <w:rPr>
          <w:rtl w:val="0"/>
        </w:rPr>
        <w:t xml:space="preserve">Name of Neriah Sholanke</w:t>
      </w:r>
    </w:p>
    <w:p w:rsidR="00000000" w:rsidDel="00000000" w:rsidP="00000000" w:rsidRDefault="00000000" w:rsidRPr="00000000" w14:paraId="0000001B">
      <w:pPr>
        <w:spacing w:after="240" w:before="240" w:lineRule="auto"/>
        <w:rPr/>
      </w:pPr>
      <w:r w:rsidDel="00000000" w:rsidR="00000000" w:rsidRPr="00000000">
        <w:rPr>
          <w:rtl w:val="0"/>
        </w:rPr>
        <w:t xml:space="preserve">Delegate of Hellenic Republic (Greece)</w:t>
      </w:r>
    </w:p>
    <w:p w:rsidR="00000000" w:rsidDel="00000000" w:rsidP="00000000" w:rsidRDefault="00000000" w:rsidRPr="00000000" w14:paraId="0000001C">
      <w:pPr>
        <w:spacing w:after="240" w:before="240" w:lineRule="auto"/>
        <w:rPr/>
      </w:pPr>
      <w:r w:rsidDel="00000000" w:rsidR="00000000" w:rsidRPr="00000000">
        <w:rPr>
          <w:rtl w:val="0"/>
        </w:rPr>
        <w:t xml:space="preserve">______________________________</w:t>
      </w:r>
    </w:p>
    <w:p w:rsidR="00000000" w:rsidDel="00000000" w:rsidP="00000000" w:rsidRDefault="00000000" w:rsidRPr="00000000" w14:paraId="0000001D">
      <w:pPr>
        <w:spacing w:after="240" w:before="240" w:lineRule="auto"/>
        <w:rPr/>
      </w:pPr>
      <w:r w:rsidDel="00000000" w:rsidR="00000000" w:rsidRPr="00000000">
        <w:rPr>
          <w:rtl w:val="0"/>
        </w:rPr>
        <w:t xml:space="preserve">Name of Dan Mccaughan  </w:t>
      </w:r>
    </w:p>
    <w:p w:rsidR="00000000" w:rsidDel="00000000" w:rsidP="00000000" w:rsidRDefault="00000000" w:rsidRPr="00000000" w14:paraId="0000001E">
      <w:pPr>
        <w:spacing w:after="240" w:before="240" w:lineRule="auto"/>
        <w:rPr/>
      </w:pPr>
      <w:r w:rsidDel="00000000" w:rsidR="00000000" w:rsidRPr="00000000">
        <w:rPr>
          <w:rtl w:val="0"/>
        </w:rPr>
        <w:t xml:space="preserve">Delegate of Israel</w:t>
      </w:r>
    </w:p>
    <w:p w:rsidR="00000000" w:rsidDel="00000000" w:rsidP="00000000" w:rsidRDefault="00000000" w:rsidRPr="00000000" w14:paraId="0000001F">
      <w:pPr>
        <w:spacing w:after="240" w:before="240" w:lineRule="auto"/>
        <w:ind w:left="600" w:right="600" w:firstLine="0"/>
        <w:rPr>
          <w:b w:val="1"/>
          <w:bCs w:val="1"/>
        </w:rPr>
      </w:pPr>
      <w:r w:rsidDel="00000000" w:rsidR="00000000" w:rsidRPr="00000000">
        <w:rPr>
          <w:rtl w:val="0"/>
        </w:rPr>
      </w:r>
    </w:p>
    <w:p w:rsidR="00000000" w:rsidDel="00000000" w:rsidP="00000000" w:rsidRDefault="00000000" w:rsidRPr="00000000" w14:paraId="00000020">
      <w:pPr>
        <w:spacing w:after="240" w:before="240" w:lineRule="auto"/>
        <w:ind w:left="600" w:right="600" w:firstLine="0"/>
        <w:rPr>
          <w:b w:val="1"/>
          <w:bCs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